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517" w:tblpY="410"/>
        <w:tblOverlap w:val="never"/>
        <w:tblW w:w="852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90BE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522" w:type="dxa"/>
            <w:vAlign w:val="top"/>
          </w:tcPr>
          <w:p w14:paraId="3350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278" w:firstLineChars="1885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 w14:paraId="6CE8F900"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 w14:paraId="414E753E"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 w14:paraId="526FA72C"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 w14:paraId="03046C49"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 w14:paraId="705B1490"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 w14:paraId="3BD6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 w14:paraId="31D1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市监</w:t>
      </w:r>
      <w:r>
        <w:rPr>
          <w:rFonts w:hint="eastAsia" w:ascii="仿宋_GB2312" w:hAnsi="仿宋" w:eastAsia="仿宋_GB2312"/>
          <w:sz w:val="32"/>
          <w:szCs w:val="32"/>
        </w:rPr>
        <w:t>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 w14:paraId="311D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 w14:paraId="4CD7F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 w14:paraId="6F9FD0D2">
      <w:pPr>
        <w:spacing w:line="60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bookmarkStart w:id="0" w:name="subject"/>
      <w:r>
        <w:rPr>
          <w:rFonts w:hint="eastAsia" w:eastAsia="方正小标宋简体"/>
          <w:bCs/>
          <w:color w:val="auto"/>
          <w:sz w:val="44"/>
          <w:szCs w:val="44"/>
          <w:lang w:eastAsia="zh-CN"/>
        </w:rPr>
        <w:t>阳城县</w:t>
      </w:r>
      <w:r>
        <w:rPr>
          <w:rFonts w:eastAsia="方正小标宋简体"/>
          <w:bCs/>
          <w:color w:val="auto"/>
          <w:sz w:val="44"/>
          <w:szCs w:val="44"/>
        </w:rPr>
        <w:t>市场监督管理局</w:t>
      </w:r>
    </w:p>
    <w:p w14:paraId="0EFAEAE9">
      <w:pPr>
        <w:spacing w:line="60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印发《持续激发市场主体活力全力促进</w:t>
      </w:r>
    </w:p>
    <w:p w14:paraId="0C6367EE">
      <w:pPr>
        <w:spacing w:line="60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市场主体倍增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21</w:t>
      </w:r>
      <w:r>
        <w:rPr>
          <w:rFonts w:eastAsia="方正小标宋简体"/>
          <w:bCs/>
          <w:color w:val="auto"/>
          <w:sz w:val="44"/>
          <w:szCs w:val="44"/>
        </w:rPr>
        <w:t>条工作措施》的通知</w:t>
      </w:r>
    </w:p>
    <w:p w14:paraId="1B7DA288">
      <w:pPr>
        <w:spacing w:line="400" w:lineRule="exact"/>
        <w:jc w:val="center"/>
        <w:rPr>
          <w:rFonts w:hint="eastAsia" w:eastAsia="方正小标宋简体"/>
          <w:bCs/>
          <w:color w:val="auto"/>
          <w:sz w:val="44"/>
          <w:szCs w:val="44"/>
        </w:rPr>
      </w:pPr>
    </w:p>
    <w:p w14:paraId="7A5CF71A">
      <w:pPr>
        <w:spacing w:line="500" w:lineRule="exact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各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股、室、所、事业单位</w:t>
      </w:r>
      <w:r>
        <w:rPr>
          <w:rFonts w:eastAsia="仿宋_GB2312"/>
          <w:bCs/>
          <w:color w:val="auto"/>
          <w:sz w:val="32"/>
          <w:szCs w:val="32"/>
        </w:rPr>
        <w:t>：</w:t>
      </w:r>
    </w:p>
    <w:p w14:paraId="374CF272">
      <w:pPr>
        <w:spacing w:line="5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现将《持续激发市场主体活力全力促进市场主体倍增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21</w:t>
      </w:r>
      <w:r>
        <w:rPr>
          <w:rFonts w:eastAsia="仿宋_GB2312"/>
          <w:bCs/>
          <w:color w:val="auto"/>
          <w:sz w:val="32"/>
          <w:szCs w:val="32"/>
        </w:rPr>
        <w:t>条工作措施》印发你们，请认真贯彻执行。</w:t>
      </w:r>
    </w:p>
    <w:p w14:paraId="1AF709CA">
      <w:pPr>
        <w:pStyle w:val="21"/>
        <w:spacing w:line="500" w:lineRule="exact"/>
        <w:ind w:firstLine="0" w:firstLineChars="0"/>
        <w:rPr>
          <w:rFonts w:eastAsia="仿宋_GB2312"/>
          <w:bCs/>
          <w:color w:val="auto"/>
          <w:sz w:val="44"/>
          <w:szCs w:val="44"/>
        </w:rPr>
      </w:pPr>
    </w:p>
    <w:p w14:paraId="02034F08">
      <w:pPr>
        <w:pStyle w:val="21"/>
        <w:spacing w:line="500" w:lineRule="exact"/>
        <w:ind w:firstLine="0" w:firstLineChars="0"/>
        <w:rPr>
          <w:rFonts w:eastAsia="仿宋_GB2312"/>
          <w:bCs/>
          <w:color w:val="auto"/>
          <w:sz w:val="44"/>
          <w:szCs w:val="44"/>
        </w:rPr>
      </w:pPr>
    </w:p>
    <w:p w14:paraId="1E34A86A">
      <w:pPr>
        <w:spacing w:line="500" w:lineRule="exact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 xml:space="preserve">                    </w:t>
      </w:r>
      <w:r>
        <w:rPr>
          <w:rFonts w:hint="eastAsia" w:eastAsia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阳城县市场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监督管理局</w:t>
      </w:r>
    </w:p>
    <w:p w14:paraId="60F359E7">
      <w:pPr>
        <w:pStyle w:val="21"/>
        <w:tabs>
          <w:tab w:val="left" w:pos="7560"/>
        </w:tabs>
        <w:spacing w:line="500" w:lineRule="exact"/>
        <w:ind w:firstLine="640"/>
        <w:jc w:val="center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2022年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Cs w:val="32"/>
        </w:rPr>
        <w:t>月</w:t>
      </w:r>
      <w:r>
        <w:rPr>
          <w:rFonts w:hint="eastAsia" w:ascii="仿宋" w:hAnsi="仿宋" w:cs="仿宋"/>
          <w:color w:val="auto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Cs w:val="32"/>
        </w:rPr>
        <w:t>日</w:t>
      </w:r>
    </w:p>
    <w:p w14:paraId="155D8B24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eastAsia="仿宋_GB2312"/>
          <w:bCs/>
          <w:color w:val="auto"/>
          <w:szCs w:val="32"/>
        </w:rPr>
      </w:pPr>
    </w:p>
    <w:p w14:paraId="13BD2381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eastAsia="仿宋_GB2312"/>
          <w:bCs/>
          <w:color w:val="auto"/>
          <w:szCs w:val="32"/>
        </w:rPr>
        <w:t>（此件公开发布）</w:t>
      </w:r>
    </w:p>
    <w:p w14:paraId="7F25A2F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  <w:lang w:eastAsia="zh-CN"/>
        </w:rPr>
        <w:t>阳城县</w:t>
      </w:r>
      <w:r>
        <w:rPr>
          <w:rFonts w:eastAsia="方正小标宋简体"/>
          <w:bCs/>
          <w:color w:val="auto"/>
          <w:sz w:val="44"/>
          <w:szCs w:val="44"/>
        </w:rPr>
        <w:t>市场监督管理局</w:t>
      </w:r>
    </w:p>
    <w:p w14:paraId="7031E90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持续激发市场主体活力全力促进</w:t>
      </w:r>
    </w:p>
    <w:p w14:paraId="3027352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市场主体倍增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21</w:t>
      </w:r>
      <w:r>
        <w:rPr>
          <w:rFonts w:eastAsia="方正小标宋简体"/>
          <w:bCs/>
          <w:color w:val="auto"/>
          <w:sz w:val="44"/>
          <w:szCs w:val="44"/>
        </w:rPr>
        <w:t>条工作措施</w:t>
      </w:r>
    </w:p>
    <w:p w14:paraId="44E2BA83">
      <w:pPr>
        <w:pStyle w:val="21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eastAsia="方正小标宋简体"/>
          <w:bCs/>
          <w:color w:val="auto"/>
          <w:sz w:val="44"/>
          <w:szCs w:val="44"/>
        </w:rPr>
      </w:pPr>
    </w:p>
    <w:p w14:paraId="0496C1E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为贯彻落实省委、省政府《关于实施市场主体倍增工程的意见》（晋发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〔2021〕67号</w:t>
      </w:r>
      <w:r>
        <w:rPr>
          <w:rFonts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精神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落实“</w:t>
      </w:r>
      <w:r>
        <w:rPr>
          <w:rFonts w:hint="eastAsia" w:ascii="方正仿宋_GBK" w:hAnsi="方正仿宋_GBK" w:eastAsia="仿宋_GB2312" w:cs="方正仿宋_GBK"/>
          <w:color w:val="auto"/>
          <w:sz w:val="32"/>
          <w:szCs w:val="32"/>
        </w:rPr>
        <w:t>市场主体建设年”活动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发挥市场监管职能作用，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聚焦打造“三无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三可”营商环境，</w:t>
      </w:r>
      <w:r>
        <w:rPr>
          <w:rFonts w:eastAsia="仿宋_GB2312"/>
          <w:color w:val="auto"/>
          <w:sz w:val="32"/>
          <w:szCs w:val="32"/>
        </w:rPr>
        <w:t>持续激发市场主体活力，全力促进市场主体倍增，推出以下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条工作措施。</w:t>
      </w:r>
    </w:p>
    <w:p w14:paraId="3C45DE0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2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22"/>
          <w:rFonts w:hint="eastAsia" w:ascii="黑体" w:hAnsi="黑体" w:eastAsia="黑体" w:cs="黑体"/>
          <w:color w:val="auto"/>
          <w:sz w:val="32"/>
          <w:szCs w:val="32"/>
        </w:rPr>
        <w:t>一、创优市场主体管理服务、持续激发创业活力</w:t>
      </w:r>
    </w:p>
    <w:p w14:paraId="71B1CD0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出台《关于支持个体工商户倍增质升的若干措施》。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从拓展行业领域、便捷市场准入、财政税务支持、方便贷款融资等方面明确培育扶持政策。</w:t>
      </w:r>
    </w:p>
    <w:p w14:paraId="03F4BC6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.与中国邮政储蓄银行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阳城支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行联合开展金融专项服务个体工商户工作。</w:t>
      </w:r>
      <w:r>
        <w:rPr>
          <w:rFonts w:eastAsia="仿宋_GB2312"/>
          <w:color w:val="auto"/>
          <w:sz w:val="32"/>
          <w:szCs w:val="32"/>
        </w:rPr>
        <w:t>推进商户信息共享，优化信贷服务方式，力争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2022</w:t>
      </w:r>
      <w:r>
        <w:rPr>
          <w:rFonts w:eastAsia="仿宋_GB2312"/>
          <w:color w:val="auto"/>
          <w:sz w:val="32"/>
          <w:szCs w:val="32"/>
        </w:rPr>
        <w:t>年底前投放贷款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0.5</w:t>
      </w:r>
      <w:r>
        <w:rPr>
          <w:rFonts w:eastAsia="仿宋_GB2312"/>
          <w:color w:val="auto"/>
          <w:sz w:val="32"/>
          <w:szCs w:val="32"/>
        </w:rPr>
        <w:t>亿，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2025</w:t>
      </w:r>
      <w:r>
        <w:rPr>
          <w:rFonts w:eastAsia="仿宋_GB2312"/>
          <w:color w:val="auto"/>
          <w:sz w:val="32"/>
          <w:szCs w:val="32"/>
        </w:rPr>
        <w:t>年底前投放贷款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亿。</w:t>
      </w:r>
    </w:p>
    <w:p w14:paraId="0BA4F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提升市场主体年报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便捷度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多渠道开展年报提醒宣传，落实年报精细化管理试点工作，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启用微信公众号“微信年报”小程序，市场主体可以通过手机进行年报公示。</w:t>
      </w:r>
      <w:r>
        <w:rPr>
          <w:rFonts w:eastAsia="仿宋_GB2312"/>
          <w:color w:val="auto"/>
          <w:sz w:val="32"/>
          <w:szCs w:val="32"/>
        </w:rPr>
        <w:t>持续推进企业年报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“</w:t>
      </w:r>
      <w:r>
        <w:rPr>
          <w:rFonts w:eastAsia="仿宋_GB2312"/>
          <w:color w:val="auto"/>
          <w:sz w:val="32"/>
          <w:szCs w:val="32"/>
        </w:rPr>
        <w:t>多报合一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sz w:val="32"/>
          <w:szCs w:val="32"/>
        </w:rPr>
        <w:t>，避免多头报送、减轻企业负担。</w:t>
      </w:r>
    </w:p>
    <w:p w14:paraId="4F60E50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2"/>
          <w:rFonts w:ascii="黑体" w:hAnsi="黑体" w:eastAsia="黑体" w:cs="黑体"/>
          <w:color w:val="auto"/>
          <w:sz w:val="32"/>
          <w:szCs w:val="32"/>
        </w:rPr>
      </w:pPr>
      <w:r>
        <w:rPr>
          <w:rStyle w:val="22"/>
          <w:rFonts w:ascii="黑体" w:hAnsi="黑体" w:eastAsia="黑体" w:cs="黑体"/>
          <w:color w:val="auto"/>
          <w:sz w:val="32"/>
          <w:szCs w:val="32"/>
        </w:rPr>
        <w:t>二、深化质量技术全要素精准赋能、持续激发发展活力</w:t>
      </w:r>
    </w:p>
    <w:p w14:paraId="5F2219E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eastAsia="zh-CN"/>
        </w:rPr>
        <w:t>培育阳城县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  <w:t>“山西精品”公用品牌。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根据省、市安排部署，通过“</w:t>
      </w:r>
      <w:r>
        <w:rPr>
          <w:rFonts w:eastAsia="仿宋_GB2312"/>
          <w:color w:val="auto"/>
          <w:kern w:val="0"/>
          <w:sz w:val="32"/>
          <w:szCs w:val="32"/>
        </w:rPr>
        <w:t>政府引导、企业自愿、社会参与、市场运作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kern w:val="0"/>
          <w:sz w:val="32"/>
          <w:szCs w:val="32"/>
        </w:rPr>
        <w:t>模式，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梯次</w:t>
      </w:r>
      <w:r>
        <w:rPr>
          <w:rFonts w:eastAsia="仿宋_GB2312"/>
          <w:color w:val="auto"/>
          <w:kern w:val="0"/>
          <w:sz w:val="32"/>
          <w:szCs w:val="32"/>
        </w:rPr>
        <w:t>培育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一批阳城县</w:t>
      </w:r>
      <w:r>
        <w:rPr>
          <w:rFonts w:eastAsia="仿宋_GB2312"/>
          <w:color w:val="auto"/>
          <w:kern w:val="0"/>
          <w:sz w:val="32"/>
          <w:szCs w:val="32"/>
        </w:rPr>
        <w:t>拥有自主知识产权、市场占有率高的产品和服务品牌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成长为“山西精品”公用品牌。</w:t>
      </w:r>
    </w:p>
    <w:p w14:paraId="6A33425F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5.加大标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准化支持服务力度。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鼓励企业积极参与“标准宣贯实施落实年”活动，全面强化企业对标准的实施运用，确保标准“用得好”。</w:t>
      </w:r>
    </w:p>
    <w:p w14:paraId="6A1E356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  <w:t>开展质量提升行动。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持续推进</w:t>
      </w:r>
      <w:r>
        <w:rPr>
          <w:rFonts w:eastAsia="仿宋_GB2312"/>
          <w:color w:val="auto"/>
          <w:kern w:val="0"/>
          <w:sz w:val="32"/>
          <w:szCs w:val="32"/>
        </w:rPr>
        <w:t>质量基础设施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eastAsia="仿宋_GB2312"/>
          <w:color w:val="auto"/>
          <w:kern w:val="0"/>
          <w:sz w:val="32"/>
          <w:szCs w:val="32"/>
        </w:rPr>
        <w:t>一站式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kern w:val="0"/>
          <w:sz w:val="32"/>
          <w:szCs w:val="32"/>
        </w:rPr>
        <w:t>服务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模式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助力中小微企业质量提升，</w:t>
      </w:r>
      <w:r>
        <w:rPr>
          <w:rFonts w:eastAsia="仿宋_GB2312"/>
          <w:color w:val="auto"/>
          <w:kern w:val="0"/>
          <w:sz w:val="32"/>
          <w:szCs w:val="32"/>
        </w:rPr>
        <w:t>推广企业首席质量官制度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，提高企业质量管理水平。推进小微企业质量管理体系认证提升行动。</w:t>
      </w:r>
    </w:p>
    <w:p w14:paraId="37B6D8ED">
      <w:pPr>
        <w:pStyle w:val="21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eastAsia="仿宋_GB2312"/>
          <w:color w:val="auto"/>
          <w:szCs w:val="32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Cs w:val="32"/>
        </w:rPr>
        <w:t>.降低检验检测费用。</w:t>
      </w:r>
      <w:r>
        <w:rPr>
          <w:rFonts w:hint="eastAsia" w:eastAsia="仿宋_GB2312"/>
          <w:color w:val="auto"/>
          <w:szCs w:val="32"/>
          <w:lang w:eastAsia="zh-CN"/>
        </w:rPr>
        <w:t>县综检</w:t>
      </w:r>
      <w:r>
        <w:rPr>
          <w:rFonts w:eastAsia="仿宋_GB2312"/>
          <w:color w:val="auto"/>
          <w:szCs w:val="32"/>
        </w:rPr>
        <w:t>中心对</w:t>
      </w:r>
      <w:r>
        <w:rPr>
          <w:rFonts w:hint="eastAsia" w:eastAsia="仿宋_GB2312"/>
          <w:color w:val="auto"/>
          <w:szCs w:val="32"/>
          <w:lang w:eastAsia="zh-CN"/>
        </w:rPr>
        <w:t>县</w:t>
      </w:r>
      <w:r>
        <w:rPr>
          <w:rFonts w:eastAsia="仿宋_GB2312"/>
          <w:color w:val="auto"/>
          <w:szCs w:val="32"/>
        </w:rPr>
        <w:t>级以上</w:t>
      </w:r>
      <w:r>
        <w:rPr>
          <w:rFonts w:hint="eastAsia" w:eastAsia="仿宋_GB2312"/>
          <w:color w:val="auto"/>
          <w:szCs w:val="32"/>
          <w:lang w:eastAsia="zh-CN"/>
        </w:rPr>
        <w:t>（包括招商引资）</w:t>
      </w:r>
      <w:r>
        <w:rPr>
          <w:rFonts w:eastAsia="仿宋_GB2312"/>
          <w:color w:val="auto"/>
          <w:szCs w:val="32"/>
        </w:rPr>
        <w:t>企业，检验检测费按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Cs w:val="32"/>
        </w:rPr>
        <w:t>0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%</w:t>
      </w:r>
      <w:r>
        <w:rPr>
          <w:rFonts w:eastAsia="仿宋_GB2312"/>
          <w:color w:val="auto"/>
          <w:szCs w:val="32"/>
        </w:rPr>
        <w:t>收取。</w:t>
      </w:r>
    </w:p>
    <w:p w14:paraId="6E4765AA">
      <w:pPr>
        <w:pStyle w:val="21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eastAsia="仿宋_GB2312"/>
          <w:color w:val="auto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Cs w:val="32"/>
        </w:rPr>
        <w:t>.开展计量服务中小企业行活动。</w:t>
      </w:r>
      <w:r>
        <w:rPr>
          <w:rFonts w:eastAsia="仿宋_GB2312"/>
          <w:color w:val="auto"/>
          <w:szCs w:val="32"/>
        </w:rPr>
        <w:t>指导帮助企业完善计量检测体系和量值溯源体系。</w:t>
      </w:r>
    </w:p>
    <w:p w14:paraId="0197152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2"/>
          <w:rFonts w:ascii="黑体" w:hAnsi="黑体" w:eastAsia="黑体" w:cs="黑体"/>
          <w:color w:val="auto"/>
          <w:sz w:val="32"/>
          <w:szCs w:val="32"/>
        </w:rPr>
      </w:pPr>
      <w:r>
        <w:rPr>
          <w:rStyle w:val="22"/>
          <w:rFonts w:ascii="黑体" w:hAnsi="黑体" w:eastAsia="黑体" w:cs="黑体"/>
          <w:color w:val="auto"/>
          <w:sz w:val="32"/>
          <w:szCs w:val="32"/>
        </w:rPr>
        <w:t>三、强化知识产权全方位保护运用、持续激发创新活力</w:t>
      </w:r>
    </w:p>
    <w:p w14:paraId="5442230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推进知识产权质押融资工程。</w:t>
      </w:r>
      <w:r>
        <w:rPr>
          <w:rFonts w:eastAsia="仿宋_GB2312"/>
          <w:color w:val="auto"/>
          <w:sz w:val="32"/>
          <w:szCs w:val="32"/>
        </w:rPr>
        <w:t>与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县发改局、晋城银保监分局阳城监管组、县金融办、</w:t>
      </w:r>
      <w:r>
        <w:rPr>
          <w:rFonts w:eastAsia="仿宋_GB2312"/>
          <w:color w:val="auto"/>
          <w:sz w:val="32"/>
          <w:szCs w:val="32"/>
        </w:rPr>
        <w:t>中国银行</w:t>
      </w:r>
      <w:r>
        <w:rPr>
          <w:rFonts w:hint="eastAsia" w:eastAsia="仿宋_GB2312"/>
          <w:color w:val="auto"/>
          <w:sz w:val="32"/>
          <w:szCs w:val="32"/>
          <w:lang w:eastAsia="zh-CN"/>
        </w:rPr>
        <w:t>阳城支</w:t>
      </w:r>
      <w:r>
        <w:rPr>
          <w:rFonts w:eastAsia="仿宋_GB2312"/>
          <w:color w:val="auto"/>
          <w:sz w:val="32"/>
          <w:szCs w:val="32"/>
        </w:rPr>
        <w:t>行联合开展</w:t>
      </w:r>
      <w:r>
        <w:rPr>
          <w:rFonts w:hint="eastAsia" w:eastAsia="仿宋_GB2312"/>
          <w:color w:val="auto"/>
          <w:sz w:val="32"/>
          <w:szCs w:val="32"/>
        </w:rPr>
        <w:t>知识产权质押融资入园惠企行动</w:t>
      </w:r>
      <w:r>
        <w:rPr>
          <w:rFonts w:eastAsia="仿宋_GB2312"/>
          <w:color w:val="auto"/>
          <w:sz w:val="32"/>
          <w:szCs w:val="32"/>
        </w:rPr>
        <w:t>。</w:t>
      </w:r>
    </w:p>
    <w:p w14:paraId="4E1FA1B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.实施专利转化专项工程。</w:t>
      </w:r>
      <w:r>
        <w:rPr>
          <w:rFonts w:eastAsia="仿宋_GB2312"/>
          <w:color w:val="auto"/>
          <w:sz w:val="32"/>
          <w:szCs w:val="32"/>
        </w:rPr>
        <w:t>建立健全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县</w:t>
      </w:r>
      <w:r>
        <w:rPr>
          <w:rFonts w:eastAsia="仿宋_GB2312"/>
          <w:color w:val="auto"/>
          <w:sz w:val="32"/>
          <w:szCs w:val="32"/>
        </w:rPr>
        <w:t>级专利转化运用的激励机制，畅通供需对接渠道，助力中小型科技企业创新发展。</w:t>
      </w:r>
    </w:p>
    <w:p w14:paraId="53CF4A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.实施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商标品牌战略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展地理标志助力乡村振兴工作，深入了解县域内具有特色的农产品资源及其分布，引导乡镇政府积极挖掘本地区资源特色，指导其对符合注册、申报条件的“名、特、优、新、稀”的产品申请注册地理标志和地理标志保护产品，促进农业高质高效、乡村宜居宜业、农民富裕富足，推动特色产业发展。</w:t>
      </w:r>
    </w:p>
    <w:p w14:paraId="09167CDB">
      <w:pPr>
        <w:pStyle w:val="21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eastAsia="仿宋_GB2312"/>
          <w:color w:val="auto"/>
          <w:szCs w:val="32"/>
        </w:rPr>
      </w:pPr>
      <w:r>
        <w:rPr>
          <w:rFonts w:hint="eastAsia" w:ascii="仿宋" w:hAnsi="仿宋" w:eastAsia="仿宋" w:cs="仿宋"/>
          <w:b/>
          <w:color w:val="auto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Cs w:val="32"/>
        </w:rPr>
        <w:t>.加强知识产权行政保护。</w:t>
      </w:r>
      <w:r>
        <w:rPr>
          <w:rFonts w:eastAsia="仿宋_GB2312"/>
          <w:bCs/>
          <w:color w:val="auto"/>
          <w:szCs w:val="32"/>
        </w:rPr>
        <w:t>推动维权援助站点建设，加大知识产权行政执法保护力度，严厉</w:t>
      </w:r>
      <w:r>
        <w:rPr>
          <w:rFonts w:hint="eastAsia" w:eastAsia="仿宋_GB2312"/>
          <w:bCs/>
          <w:color w:val="auto"/>
          <w:szCs w:val="32"/>
          <w:lang w:eastAsia="zh-CN"/>
        </w:rPr>
        <w:t>打击</w:t>
      </w:r>
      <w:r>
        <w:rPr>
          <w:rFonts w:eastAsia="仿宋_GB2312"/>
          <w:bCs/>
          <w:color w:val="auto"/>
          <w:szCs w:val="32"/>
        </w:rPr>
        <w:t>侵</w:t>
      </w:r>
      <w:r>
        <w:rPr>
          <w:rFonts w:hint="eastAsia" w:eastAsia="仿宋_GB2312"/>
          <w:bCs/>
          <w:color w:val="auto"/>
          <w:szCs w:val="32"/>
          <w:lang w:eastAsia="zh-CN"/>
        </w:rPr>
        <w:t>犯知识产</w:t>
      </w:r>
      <w:r>
        <w:rPr>
          <w:rFonts w:eastAsia="仿宋_GB2312"/>
          <w:bCs/>
          <w:color w:val="auto"/>
          <w:szCs w:val="32"/>
        </w:rPr>
        <w:t>权违法</w:t>
      </w:r>
      <w:r>
        <w:rPr>
          <w:rFonts w:hint="eastAsia" w:eastAsia="仿宋_GB2312"/>
          <w:bCs/>
          <w:color w:val="auto"/>
          <w:szCs w:val="32"/>
          <w:lang w:eastAsia="zh-CN"/>
        </w:rPr>
        <w:t>犯罪</w:t>
      </w:r>
      <w:r>
        <w:rPr>
          <w:rFonts w:eastAsia="仿宋_GB2312"/>
          <w:bCs/>
          <w:color w:val="auto"/>
          <w:szCs w:val="32"/>
        </w:rPr>
        <w:t>行为。</w:t>
      </w:r>
    </w:p>
    <w:p w14:paraId="33D8F27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2"/>
          <w:rFonts w:ascii="黑体" w:hAnsi="黑体" w:eastAsia="黑体" w:cs="黑体"/>
          <w:color w:val="auto"/>
          <w:sz w:val="32"/>
          <w:szCs w:val="32"/>
        </w:rPr>
      </w:pPr>
      <w:r>
        <w:rPr>
          <w:rStyle w:val="22"/>
          <w:rFonts w:ascii="黑体" w:hAnsi="黑体" w:eastAsia="黑体" w:cs="黑体"/>
          <w:color w:val="auto"/>
          <w:sz w:val="32"/>
          <w:szCs w:val="32"/>
        </w:rPr>
        <w:t>四、坚持市场秩序全过程公正监管、持续激发竞争活力</w:t>
      </w:r>
    </w:p>
    <w:p w14:paraId="7EA7A19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13.全面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落实公平竞争审查制度。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市场准入、产业发展、招商引资、政企合作、政府采购、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资质标准等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涉及市场主体经济活动政策措施存在的排除限制竞争的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规定和做法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加强新增政策措施公平竞争审查，加大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市场公平竞争投诉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举报处置回应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55962E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.</w:t>
      </w:r>
      <w:bookmarkStart w:id="1" w:name="_Hlk89598717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加大反垄断反不正当竞争执法力度。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公用事业、民生、社会关注等行业或领域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反垄断反不正当竞争执法，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加大商业秘密保护，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开展《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反垄断法》《中华人民共和国反不正当竞争法》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经营者反垄断合规指引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等法律法规宣传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维护市场公平竞争秩序，不断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市场主体公平竞争意识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1BC664D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.</w:t>
      </w:r>
      <w:bookmarkEnd w:id="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开展民生领域案件查办“铁拳”行动。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聚焦食品药品、老人和儿童用品等民意最盼的重点领域，加大执法力度、打击假冒伪劣，曝光典型案例、震慑违法分子。</w:t>
      </w:r>
    </w:p>
    <w:p w14:paraId="21ECA0B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开展无证无照查处专项行动。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坚持“以治理促规范，以规范促发展”，加强事中事后监管力度，全面排查各种无证无照经营，促进隐形经济显性规范发展，进一步壮大市场主体总量。</w:t>
      </w:r>
    </w:p>
    <w:p w14:paraId="0531F826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推进放心消费创建。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继续推进“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文明阳城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•诚信商家”放心消费建设，落实“消费者权益保护局际联席会议制度”，推动线下无理由退货承诺，打造“放心消费在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城”品牌。</w:t>
      </w:r>
    </w:p>
    <w:p w14:paraId="2D281A24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.推行柔性执法。</w:t>
      </w:r>
      <w:r>
        <w:rPr>
          <w:rFonts w:eastAsia="仿宋_GB2312"/>
          <w:bCs/>
          <w:color w:val="auto"/>
          <w:sz w:val="32"/>
          <w:szCs w:val="32"/>
        </w:rPr>
        <w:t>落实</w:t>
      </w:r>
      <w:r>
        <w:rPr>
          <w:rFonts w:eastAsia="仿宋_GB2312"/>
          <w:color w:val="auto"/>
          <w:sz w:val="32"/>
          <w:szCs w:val="32"/>
        </w:rPr>
        <w:t>《山西省市场监管领域包容免罚清单（试行）》，</w:t>
      </w:r>
      <w:r>
        <w:rPr>
          <w:rFonts w:hint="eastAsia" w:eastAsia="仿宋_GB2312"/>
          <w:color w:val="auto"/>
          <w:sz w:val="32"/>
          <w:szCs w:val="32"/>
        </w:rPr>
        <w:t>实施包容免罚，建立企业容错纠错机制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通过责令改正、批评教育、告诫约谈等手段，促进市场主体依法合规经营。</w:t>
      </w:r>
    </w:p>
    <w:p w14:paraId="50BD8C3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.完善信用修复机制。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畅通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“线上+线下”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异地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力争实现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网上申请信用修复不见面办理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及时为符合条件的市场主体实施信用修复，解除信用约束措施，鼓励失信市场主体纠正失信行为、重塑良好信用。</w:t>
      </w:r>
    </w:p>
    <w:p w14:paraId="298F9E0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.减轻企业经营负担。</w:t>
      </w:r>
      <w:r>
        <w:rPr>
          <w:rFonts w:hint="eastAsia" w:eastAsia="仿宋_GB2312"/>
          <w:bCs/>
          <w:color w:val="auto"/>
          <w:kern w:val="0"/>
          <w:sz w:val="32"/>
          <w:szCs w:val="32"/>
        </w:rPr>
        <w:t>组织开展涉企收费治理专项行动。聚集突出问题，明确检查重点，推动降低实体经济企业负担，特别是中小微企业、个体工商户经营负担，确保新的降费减负政策落实落地落细。</w:t>
      </w:r>
    </w:p>
    <w:p w14:paraId="2F164F6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21.全面开展企业信用风险分类管理。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对信用良好企业，根据举报投诉、转办交办等线索实施“触发式”检查，真正做到“无事不扰”。 严格实行随机抽查事项清单管理，做到“清单之外无抽查”。推进部门联合抽查，对同一检查对象的多项检查尽可能合并开展，做到“进一次门，查多项事”。</w:t>
      </w:r>
    </w:p>
    <w:p w14:paraId="3B3FBC17">
      <w:pPr>
        <w:bidi w:val="0"/>
        <w:jc w:val="left"/>
        <w:rPr>
          <w:rFonts w:hint="eastAsia"/>
          <w:lang w:val="en-US" w:eastAsia="zh-CN"/>
        </w:rPr>
      </w:pPr>
    </w:p>
    <w:p w14:paraId="2E71833B">
      <w:pPr>
        <w:pStyle w:val="2"/>
        <w:rPr>
          <w:rFonts w:hint="eastAsia"/>
          <w:lang w:val="en-US" w:eastAsia="zh-CN"/>
        </w:rPr>
      </w:pPr>
    </w:p>
    <w:p w14:paraId="721C336D">
      <w:pPr>
        <w:rPr>
          <w:rFonts w:hint="eastAsia"/>
          <w:lang w:val="en-US" w:eastAsia="zh-CN"/>
        </w:rPr>
      </w:pPr>
    </w:p>
    <w:p w14:paraId="4E6022F1">
      <w:pPr>
        <w:pStyle w:val="2"/>
        <w:rPr>
          <w:rFonts w:hint="eastAsia"/>
          <w:lang w:val="en-US" w:eastAsia="zh-CN"/>
        </w:rPr>
      </w:pPr>
    </w:p>
    <w:p w14:paraId="6CF090FC">
      <w:pPr>
        <w:rPr>
          <w:rFonts w:hint="eastAsia"/>
          <w:lang w:val="en-US" w:eastAsia="zh-CN"/>
        </w:rPr>
      </w:pPr>
    </w:p>
    <w:p w14:paraId="3BBBA139">
      <w:pPr>
        <w:pStyle w:val="2"/>
        <w:rPr>
          <w:rFonts w:hint="eastAsia"/>
          <w:lang w:val="en-US" w:eastAsia="zh-CN"/>
        </w:rPr>
      </w:pPr>
    </w:p>
    <w:p w14:paraId="210EED17">
      <w:pPr>
        <w:rPr>
          <w:rFonts w:hint="eastAsia"/>
          <w:lang w:val="en-US" w:eastAsia="zh-CN"/>
        </w:rPr>
      </w:pPr>
    </w:p>
    <w:p w14:paraId="2CEAD46E">
      <w:pPr>
        <w:pStyle w:val="2"/>
        <w:rPr>
          <w:rFonts w:hint="eastAsia"/>
          <w:lang w:val="en-US" w:eastAsia="zh-CN"/>
        </w:rPr>
      </w:pPr>
    </w:p>
    <w:p w14:paraId="40869CC9">
      <w:pPr>
        <w:rPr>
          <w:rFonts w:hint="eastAsia"/>
          <w:lang w:val="en-US" w:eastAsia="zh-CN"/>
        </w:rPr>
      </w:pPr>
    </w:p>
    <w:p w14:paraId="4F963DC0">
      <w:pPr>
        <w:pStyle w:val="2"/>
        <w:rPr>
          <w:rFonts w:hint="eastAsia"/>
          <w:lang w:val="en-US" w:eastAsia="zh-CN"/>
        </w:rPr>
      </w:pPr>
    </w:p>
    <w:p w14:paraId="1BF0ED86">
      <w:pPr>
        <w:rPr>
          <w:rFonts w:hint="eastAsia"/>
          <w:lang w:val="en-US" w:eastAsia="zh-CN"/>
        </w:rPr>
      </w:pPr>
    </w:p>
    <w:p w14:paraId="3DF2316B">
      <w:pPr>
        <w:pStyle w:val="2"/>
        <w:rPr>
          <w:rFonts w:hint="eastAsia"/>
          <w:lang w:val="en-US" w:eastAsia="zh-CN"/>
        </w:rPr>
      </w:pPr>
    </w:p>
    <w:p w14:paraId="48434A89">
      <w:pPr>
        <w:rPr>
          <w:rFonts w:hint="eastAsia"/>
          <w:lang w:val="en-US" w:eastAsia="zh-CN"/>
        </w:rPr>
      </w:pPr>
    </w:p>
    <w:p w14:paraId="6E02B7ED">
      <w:pPr>
        <w:pStyle w:val="2"/>
        <w:rPr>
          <w:rFonts w:hint="eastAsia"/>
          <w:lang w:val="en-US" w:eastAsia="zh-CN"/>
        </w:rPr>
      </w:pPr>
    </w:p>
    <w:p w14:paraId="09610C43">
      <w:pPr>
        <w:rPr>
          <w:rFonts w:hint="eastAsia"/>
          <w:lang w:val="en-US" w:eastAsia="zh-CN"/>
        </w:rPr>
      </w:pPr>
    </w:p>
    <w:p w14:paraId="4E5A95C8">
      <w:pPr>
        <w:pStyle w:val="2"/>
        <w:rPr>
          <w:rFonts w:hint="eastAsia"/>
          <w:lang w:val="en-US" w:eastAsia="zh-CN"/>
        </w:rPr>
      </w:pPr>
    </w:p>
    <w:p w14:paraId="2D0DCD42">
      <w:pPr>
        <w:rPr>
          <w:rFonts w:hint="eastAsia"/>
          <w:lang w:val="en-US" w:eastAsia="zh-CN"/>
        </w:rPr>
      </w:pPr>
    </w:p>
    <w:p w14:paraId="5DA06D7E">
      <w:pPr>
        <w:pStyle w:val="2"/>
        <w:rPr>
          <w:rFonts w:hint="eastAsia"/>
          <w:lang w:val="en-US" w:eastAsia="zh-CN"/>
        </w:rPr>
      </w:pPr>
    </w:p>
    <w:p w14:paraId="5AC3E550">
      <w:pPr>
        <w:rPr>
          <w:rFonts w:hint="eastAsia"/>
          <w:lang w:val="en-US" w:eastAsia="zh-CN"/>
        </w:rPr>
      </w:pPr>
    </w:p>
    <w:p w14:paraId="03958387">
      <w:pPr>
        <w:pStyle w:val="2"/>
        <w:rPr>
          <w:rFonts w:hint="eastAsia"/>
          <w:lang w:val="en-US" w:eastAsia="zh-CN"/>
        </w:rPr>
      </w:pPr>
    </w:p>
    <w:p w14:paraId="30B5D37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49BA9F5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D47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4" w:rightChars="0"/>
        <w:textAlignment w:val="auto"/>
        <w:rPr>
          <w:rFonts w:hint="default" w:ascii="仿宋_GB2312" w:eastAsia="仿宋_GB2312"/>
          <w:position w:val="-6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102235</wp:posOffset>
                </wp:positionV>
                <wp:extent cx="5615940" cy="63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8.05pt;height:0.5pt;width:442.2pt;z-index:251661312;mso-width-relative:page;mso-height-relative:page;" filled="f" stroked="t" coordsize="21600,21600" o:gfxdata="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6ttB9gAAAAIAQAADwAAAAAAAAABACAAAAAiAAAAZHJzL2Rvd25yZXYueG1sUEsBAhQAFAAA&#10;AAgAh07iQEKuTG7vAQAAvgMAAA4AAAAAAAAAAQAgAAAAJwEAAGRycy9lMm9Eb2MueG1sUEsFBgAA&#10;AAAGAAYAWQEAAIg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DD3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4" w:rightChars="0"/>
        <w:textAlignment w:val="auto"/>
        <w:rPr>
          <w:rFonts w:hint="eastAsia" w:ascii="仿宋_GB2312" w:eastAsia="仿宋_GB2312"/>
          <w:position w:val="-6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position w:val="-6"/>
          <w:sz w:val="28"/>
          <w:szCs w:val="28"/>
          <w:u w:val="none"/>
          <w:lang w:val="en-US" w:eastAsia="zh-CN"/>
        </w:rPr>
        <w:t>抄送：县政府办，县发改局，县行政审批局，县融媒体中心</w:t>
      </w:r>
    </w:p>
    <w:p w14:paraId="63F4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4" w:rightChars="0"/>
        <w:textAlignment w:val="auto"/>
        <w:rPr>
          <w:rFonts w:hint="eastAsia"/>
          <w:position w:val="-6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184785</wp:posOffset>
                </wp:positionV>
                <wp:extent cx="5615940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14.55pt;height:0.5pt;width:442.2pt;z-index:251660288;mso-width-relative:page;mso-height-relative:page;" filled="f" stroked="t" coordsize="21600,21600" o:gfxdata="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PkLK1wAAAAgBAAAPAAAAAAAAAAEAIAAAACIAAABkcnMvZG93bnJldi54bWxQSwECFAAUAAAACACH&#10;TuJAEdgIo+wBAAC+AwAADgAAAAAAAAABACAAAAAm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position w:val="-6"/>
          <w:u w:val="none"/>
          <w:lang w:val="en-US" w:eastAsia="zh-CN"/>
        </w:rPr>
        <w:t xml:space="preserve"> </w:t>
      </w:r>
    </w:p>
    <w:p w14:paraId="4A83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24" w:rightChars="0"/>
        <w:textAlignment w:val="auto"/>
        <w:rPr>
          <w:rFonts w:hint="eastAsia" w:ascii="仿宋_GB2312" w:eastAsia="仿宋_GB2312"/>
          <w:position w:val="-6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370205</wp:posOffset>
                </wp:positionV>
                <wp:extent cx="565213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2665" y="9257665"/>
                          <a:ext cx="5652135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pt;margin-top:29.15pt;height:0.5pt;width:445.05pt;z-index:251659264;mso-width-relative:page;mso-height-relative:page;" filled="f" stroked="t" coordsize="21600,21600" o:gfxdata="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V91NNoAAAAJAQAADwAAAAAAAAABACAAAAAiAAAAZHJzL2Rvd25yZXYu&#10;eG1sUEsBAhQAFAAAAAgAh07iQO/iM/H5AQAAygMAAA4AAAAAAAAAAQAgAAAAKQEAAGRycy9lMm9E&#10;b2MueG1sUEsFBgAAAAAGAAYAWQEAAJQ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position w:val="-6"/>
          <w:sz w:val="28"/>
          <w:szCs w:val="28"/>
          <w:u w:val="none"/>
          <w:lang w:eastAsia="zh-CN"/>
        </w:rPr>
        <w:t>阳城县市场监督管理局</w:t>
      </w:r>
      <w:r>
        <w:rPr>
          <w:rFonts w:hint="eastAsia" w:ascii="仿宋_GB2312" w:eastAsia="仿宋_GB2312"/>
          <w:position w:val="-6"/>
          <w:sz w:val="28"/>
          <w:szCs w:val="28"/>
          <w:u w:val="none"/>
        </w:rPr>
        <w:t>办公</w:t>
      </w:r>
      <w:r>
        <w:rPr>
          <w:rFonts w:hint="eastAsia" w:ascii="仿宋_GB2312" w:eastAsia="仿宋_GB2312"/>
          <w:position w:val="-6"/>
          <w:sz w:val="28"/>
          <w:szCs w:val="28"/>
          <w:u w:val="none"/>
          <w:lang w:eastAsia="zh-CN"/>
        </w:rPr>
        <w:t>室</w:t>
      </w:r>
      <w:r>
        <w:rPr>
          <w:rFonts w:hint="eastAsia" w:ascii="仿宋_GB2312" w:eastAsia="仿宋_GB2312"/>
          <w:position w:val="-6"/>
          <w:sz w:val="28"/>
          <w:szCs w:val="28"/>
          <w:u w:val="none"/>
        </w:rPr>
        <w:t xml:space="preserve">    </w:t>
      </w:r>
      <w:r>
        <w:rPr>
          <w:rFonts w:hint="eastAsia" w:ascii="仿宋_GB2312" w:eastAsia="仿宋_GB2312"/>
          <w:position w:val="-6"/>
          <w:sz w:val="28"/>
          <w:szCs w:val="28"/>
          <w:u w:val="none"/>
          <w:lang w:val="en-US" w:eastAsia="zh-CN"/>
        </w:rPr>
        <w:t xml:space="preserve">          </w:t>
      </w:r>
      <w:bookmarkStart w:id="2" w:name="印发日期"/>
      <w:bookmarkEnd w:id="2"/>
      <w:r>
        <w:rPr>
          <w:rFonts w:hint="eastAsia" w:ascii="仿宋_GB2312" w:eastAsia="仿宋_GB2312"/>
          <w:position w:val="-6"/>
          <w:sz w:val="28"/>
          <w:szCs w:val="28"/>
          <w:u w:val="none"/>
          <w:lang w:val="en-US" w:eastAsia="zh-CN"/>
        </w:rPr>
        <w:t xml:space="preserve">  2022年4月18日印发 </w:t>
      </w:r>
    </w:p>
    <w:p w14:paraId="28CE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4" w:rightChars="0"/>
        <w:textAlignment w:val="auto"/>
        <w:rPr>
          <w:rFonts w:hint="default" w:ascii="仿宋_GB2312" w:eastAsia="仿宋_GB2312"/>
          <w:bCs/>
          <w:position w:val="-6"/>
          <w:sz w:val="32"/>
          <w:szCs w:val="32"/>
          <w:u w:val="single"/>
          <w:lang w:val="en-US"/>
        </w:rPr>
      </w:pPr>
    </w:p>
    <w:p w14:paraId="7B42E03D">
      <w:pPr>
        <w:pStyle w:val="14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8712D60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58A0292B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6AA9BADC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2DE86480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68836B83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7F09D019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41B2DCF8">
      <w:pPr>
        <w:pStyle w:val="14"/>
        <w:rPr>
          <w:rFonts w:hint="eastAsia" w:ascii="黑体" w:hAnsi="黑体" w:eastAsia="黑体" w:cs="黑体"/>
          <w:sz w:val="32"/>
          <w:szCs w:val="32"/>
        </w:rPr>
      </w:pPr>
    </w:p>
    <w:p w14:paraId="04DDE9FA">
      <w:pPr>
        <w:pStyle w:val="14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EFA3808">
      <w:pPr>
        <w:pStyle w:val="13"/>
        <w:ind w:left="0" w:leftChars="0" w:firstLine="0" w:firstLineChars="0"/>
        <w:rPr>
          <w:rFonts w:hint="eastAsia"/>
        </w:rPr>
      </w:pPr>
    </w:p>
    <w:bookmarkEnd w:id="0"/>
    <w:p w14:paraId="7781E901">
      <w:pPr>
        <w:bidi w:val="0"/>
        <w:jc w:val="left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E67A6"/>
    <w:rsid w:val="01337913"/>
    <w:rsid w:val="016116CD"/>
    <w:rsid w:val="01DC7DC8"/>
    <w:rsid w:val="02DA69F8"/>
    <w:rsid w:val="04B05D62"/>
    <w:rsid w:val="05241FD8"/>
    <w:rsid w:val="055C2A07"/>
    <w:rsid w:val="05BA3671"/>
    <w:rsid w:val="05E675D3"/>
    <w:rsid w:val="063B4376"/>
    <w:rsid w:val="06AB32B9"/>
    <w:rsid w:val="06B32DB4"/>
    <w:rsid w:val="06BB2083"/>
    <w:rsid w:val="07B5295F"/>
    <w:rsid w:val="07C83E29"/>
    <w:rsid w:val="0A3679FB"/>
    <w:rsid w:val="0AB056E6"/>
    <w:rsid w:val="0CD6795F"/>
    <w:rsid w:val="0E4C284B"/>
    <w:rsid w:val="0F441E7F"/>
    <w:rsid w:val="107D10BF"/>
    <w:rsid w:val="10B52989"/>
    <w:rsid w:val="10E14FF2"/>
    <w:rsid w:val="11D633DB"/>
    <w:rsid w:val="124710C2"/>
    <w:rsid w:val="13931031"/>
    <w:rsid w:val="14902C78"/>
    <w:rsid w:val="15685A60"/>
    <w:rsid w:val="158B1F72"/>
    <w:rsid w:val="16026FCC"/>
    <w:rsid w:val="17274063"/>
    <w:rsid w:val="17AF5605"/>
    <w:rsid w:val="184B4483"/>
    <w:rsid w:val="194E290D"/>
    <w:rsid w:val="1B575AB9"/>
    <w:rsid w:val="1B804650"/>
    <w:rsid w:val="1C104766"/>
    <w:rsid w:val="1C202066"/>
    <w:rsid w:val="1D333DEB"/>
    <w:rsid w:val="1DF3582D"/>
    <w:rsid w:val="1E30150E"/>
    <w:rsid w:val="1EBB6366"/>
    <w:rsid w:val="1EF304A0"/>
    <w:rsid w:val="1FFE4634"/>
    <w:rsid w:val="21A1788A"/>
    <w:rsid w:val="21A469C0"/>
    <w:rsid w:val="22146387"/>
    <w:rsid w:val="22704C18"/>
    <w:rsid w:val="240A19A1"/>
    <w:rsid w:val="24AC0361"/>
    <w:rsid w:val="258F48C5"/>
    <w:rsid w:val="27E450CD"/>
    <w:rsid w:val="28465CF6"/>
    <w:rsid w:val="28E24062"/>
    <w:rsid w:val="29310626"/>
    <w:rsid w:val="293F4A83"/>
    <w:rsid w:val="29C5017C"/>
    <w:rsid w:val="2A376FFF"/>
    <w:rsid w:val="2B25248E"/>
    <w:rsid w:val="2C4E7463"/>
    <w:rsid w:val="2DA63F55"/>
    <w:rsid w:val="2E0418C5"/>
    <w:rsid w:val="2F130402"/>
    <w:rsid w:val="301867FC"/>
    <w:rsid w:val="31DE78D9"/>
    <w:rsid w:val="31FC5F5E"/>
    <w:rsid w:val="321E67A6"/>
    <w:rsid w:val="33A478B9"/>
    <w:rsid w:val="33B57723"/>
    <w:rsid w:val="35804DC9"/>
    <w:rsid w:val="35A43040"/>
    <w:rsid w:val="37973C41"/>
    <w:rsid w:val="37DA733B"/>
    <w:rsid w:val="396760BA"/>
    <w:rsid w:val="39A06445"/>
    <w:rsid w:val="3A5F10E2"/>
    <w:rsid w:val="3A8D7AA1"/>
    <w:rsid w:val="3AF573B7"/>
    <w:rsid w:val="3B692228"/>
    <w:rsid w:val="3DAC2A12"/>
    <w:rsid w:val="3DDB5EAF"/>
    <w:rsid w:val="3EAA2636"/>
    <w:rsid w:val="40E44245"/>
    <w:rsid w:val="40E93840"/>
    <w:rsid w:val="42FF3FB6"/>
    <w:rsid w:val="43A75D60"/>
    <w:rsid w:val="43CF724C"/>
    <w:rsid w:val="43E77A38"/>
    <w:rsid w:val="44D53B04"/>
    <w:rsid w:val="45A96528"/>
    <w:rsid w:val="46543F81"/>
    <w:rsid w:val="4818609F"/>
    <w:rsid w:val="48D424E6"/>
    <w:rsid w:val="496F11A8"/>
    <w:rsid w:val="4B66065C"/>
    <w:rsid w:val="4CDF1B4F"/>
    <w:rsid w:val="4D0271EC"/>
    <w:rsid w:val="4E2D4B02"/>
    <w:rsid w:val="4F31460D"/>
    <w:rsid w:val="4F9B31D8"/>
    <w:rsid w:val="50D04016"/>
    <w:rsid w:val="50E9670D"/>
    <w:rsid w:val="51FD3419"/>
    <w:rsid w:val="55DF7498"/>
    <w:rsid w:val="577E55E6"/>
    <w:rsid w:val="5B042ABE"/>
    <w:rsid w:val="5B697DE9"/>
    <w:rsid w:val="5C903D05"/>
    <w:rsid w:val="5D8C3BAC"/>
    <w:rsid w:val="5DEB3776"/>
    <w:rsid w:val="5DEB663E"/>
    <w:rsid w:val="5EB76B9D"/>
    <w:rsid w:val="5EB77607"/>
    <w:rsid w:val="5F276AFB"/>
    <w:rsid w:val="5FC17D72"/>
    <w:rsid w:val="5FCD3096"/>
    <w:rsid w:val="5FD045E9"/>
    <w:rsid w:val="5FF27CF5"/>
    <w:rsid w:val="60084193"/>
    <w:rsid w:val="62FD1C6E"/>
    <w:rsid w:val="637617C6"/>
    <w:rsid w:val="64C15781"/>
    <w:rsid w:val="64D12AF2"/>
    <w:rsid w:val="65233667"/>
    <w:rsid w:val="655856DF"/>
    <w:rsid w:val="66702C05"/>
    <w:rsid w:val="669116A1"/>
    <w:rsid w:val="674D7CC3"/>
    <w:rsid w:val="675C4A9F"/>
    <w:rsid w:val="67BD28A9"/>
    <w:rsid w:val="67C61A16"/>
    <w:rsid w:val="68457FF4"/>
    <w:rsid w:val="6A677888"/>
    <w:rsid w:val="6B481B4C"/>
    <w:rsid w:val="6B674B62"/>
    <w:rsid w:val="6D2C6056"/>
    <w:rsid w:val="6DBB4E8D"/>
    <w:rsid w:val="6EBD3B31"/>
    <w:rsid w:val="6EFB5304"/>
    <w:rsid w:val="6F7273BD"/>
    <w:rsid w:val="70760621"/>
    <w:rsid w:val="722F797D"/>
    <w:rsid w:val="72BE00AE"/>
    <w:rsid w:val="73161AFB"/>
    <w:rsid w:val="73487710"/>
    <w:rsid w:val="740678E0"/>
    <w:rsid w:val="742415F8"/>
    <w:rsid w:val="74F84CE3"/>
    <w:rsid w:val="76694882"/>
    <w:rsid w:val="7671300D"/>
    <w:rsid w:val="79632F62"/>
    <w:rsid w:val="7CFD7B14"/>
    <w:rsid w:val="7DE526F3"/>
    <w:rsid w:val="7E2B67D2"/>
    <w:rsid w:val="7E6F6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500" w:lineRule="exact"/>
      <w:jc w:val="left"/>
      <w:outlineLvl w:val="0"/>
    </w:pPr>
    <w:rPr>
      <w:rFonts w:hint="eastAsia" w:ascii="宋体" w:hAnsi="宋体" w:eastAsia="宋体" w:cs="宋体"/>
      <w:b/>
      <w:kern w:val="44"/>
      <w:sz w:val="36"/>
      <w:szCs w:val="48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line="600" w:lineRule="exact"/>
      <w:ind w:left="0" w:leftChars="0" w:right="0" w:rightChars="0" w:firstLine="880" w:firstLineChars="200"/>
    </w:pPr>
    <w:rPr>
      <w:rFonts w:ascii="Times New Roman" w:hAnsi="Times New Roman" w:eastAsia="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0" w:beforeLines="0" w:beforeAutospacing="0" w:afterAutospacing="0"/>
      <w:jc w:val="left"/>
      <w:outlineLvl w:val="0"/>
    </w:pPr>
    <w:rPr>
      <w:rFonts w:ascii="Arial" w:hAnsi="Arial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spacing w:after="200" w:line="360" w:lineRule="auto"/>
      <w:ind w:left="720"/>
      <w:contextualSpacing/>
    </w:pPr>
  </w:style>
  <w:style w:type="paragraph" w:customStyle="1" w:styleId="14">
    <w:name w:val="Body Text First Indent 21"/>
    <w:basedOn w:val="15"/>
    <w:qFormat/>
    <w:uiPriority w:val="0"/>
    <w:pPr>
      <w:spacing w:before="100" w:beforeLines="0" w:beforeAutospacing="1" w:after="0" w:afterLines="0"/>
      <w:ind w:firstLine="420" w:firstLineChars="200"/>
    </w:pPr>
  </w:style>
  <w:style w:type="paragraph" w:customStyle="1" w:styleId="15">
    <w:name w:val="Body Text Indent1"/>
    <w:basedOn w:val="1"/>
    <w:next w:val="16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customStyle="1" w:styleId="17">
    <w:name w:val="正文文本首行缩进 21"/>
    <w:basedOn w:val="18"/>
    <w:qFormat/>
    <w:uiPriority w:val="0"/>
    <w:pPr>
      <w:spacing w:before="100" w:beforeAutospacing="1" w:after="0"/>
      <w:ind w:firstLine="420" w:firstLineChars="200"/>
    </w:pPr>
  </w:style>
  <w:style w:type="paragraph" w:customStyle="1" w:styleId="18">
    <w:name w:val="正文文本缩进1"/>
    <w:basedOn w:val="1"/>
    <w:next w:val="19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2"/>
      <w:szCs w:val="32"/>
    </w:rPr>
  </w:style>
  <w:style w:type="paragraph" w:customStyle="1" w:styleId="19">
    <w:name w:val="正文缩进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lock Text1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"/>
      <w:sz w:val="32"/>
    </w:rPr>
  </w:style>
  <w:style w:type="character" w:customStyle="1" w:styleId="22">
    <w:name w:val="bjh-p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2163</Words>
  <Characters>2226</Characters>
  <Lines>0</Lines>
  <Paragraphs>0</Paragraphs>
  <TotalTime>5</TotalTime>
  <ScaleCrop>false</ScaleCrop>
  <LinksUpToDate>false</LinksUpToDate>
  <CharactersWithSpaces>2286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2017-12-14T07:21:00Z</dcterms:created>
  <dc:creator>Administrator</dc:creator>
  <cp:lastModifiedBy>change_chen</cp:lastModifiedBy>
  <cp:lastPrinted>2022-04-21T02:58:00Z</cp:lastPrinted>
  <dcterms:modified xsi:type="dcterms:W3CDTF">2024-12-31T02:34:23Z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5C8BED0ED4B445F6A9886882A1A9E132</vt:lpwstr>
  </property>
  <property fmtid="{D5CDD505-2E9C-101B-9397-08002B2CF9AE}" pid="4" name="KSOTemplateDocerSaveRecord">
    <vt:lpwstr>eyJoZGlkIjoiZGUzYTFiZjc2ZmJlMjA2YTllYzViYTFlYmNiZTMwODAiLCJ1c2VySWQiOiI2MTg0MTc1ODIifQ==</vt:lpwstr>
  </property>
</Properties>
</file>